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6E2E" w14:textId="09289277" w:rsidR="00413E95" w:rsidRPr="004579E2" w:rsidRDefault="007227BD" w:rsidP="00950FDF">
      <w:pPr>
        <w:rPr>
          <w:rFonts w:ascii="Poppins" w:hAnsi="Poppins" w:cs="Poppins"/>
          <w:b/>
          <w:bCs/>
          <w:sz w:val="28"/>
          <w:szCs w:val="28"/>
        </w:rPr>
      </w:pPr>
      <w:r w:rsidRPr="004579E2">
        <w:rPr>
          <w:rFonts w:ascii="Poppins" w:hAnsi="Poppins" w:cs="Poppins"/>
          <w:b/>
          <w:bCs/>
          <w:sz w:val="28"/>
          <w:szCs w:val="28"/>
        </w:rPr>
        <w:t>Anmeldelse af asbestaffald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88336C" w14:paraId="29835787" w14:textId="77777777" w:rsidTr="008F2F42">
        <w:tc>
          <w:tcPr>
            <w:tcW w:w="9628" w:type="dxa"/>
            <w:gridSpan w:val="2"/>
          </w:tcPr>
          <w:p w14:paraId="37AA8057" w14:textId="77777777" w:rsidR="00BE7A3F" w:rsidRDefault="0088336C" w:rsidP="00E05A7D">
            <w:pPr>
              <w:rPr>
                <w:rFonts w:ascii="Open Sans" w:hAnsi="Open Sans" w:cs="Open Sans"/>
                <w:sz w:val="20"/>
                <w:szCs w:val="20"/>
              </w:rPr>
            </w:pPr>
            <w:r w:rsidRPr="004579E2">
              <w:rPr>
                <w:rFonts w:ascii="Open Sans" w:hAnsi="Open Sans" w:cs="Open Sans"/>
                <w:sz w:val="20"/>
                <w:szCs w:val="20"/>
              </w:rPr>
              <w:t xml:space="preserve">Bygherren skal anmelde asbestaffald til den respektive kommune, som anviser </w:t>
            </w:r>
            <w:r w:rsidR="0027112A" w:rsidRPr="004579E2">
              <w:rPr>
                <w:rFonts w:ascii="Open Sans" w:hAnsi="Open Sans" w:cs="Open Sans"/>
                <w:sz w:val="20"/>
                <w:szCs w:val="20"/>
              </w:rPr>
              <w:t>korrekt affaldshåndtering</w:t>
            </w:r>
            <w:r w:rsidR="00EB22C6" w:rsidRPr="004579E2">
              <w:rPr>
                <w:rFonts w:ascii="Open Sans" w:hAnsi="Open Sans" w:cs="Open Sans"/>
                <w:sz w:val="20"/>
                <w:szCs w:val="20"/>
              </w:rPr>
              <w:t>,</w:t>
            </w:r>
            <w:r w:rsidR="0027112A" w:rsidRPr="004579E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D6120" w:rsidRPr="004579E2">
              <w:rPr>
                <w:rFonts w:ascii="Open Sans" w:hAnsi="Open Sans" w:cs="Open Sans"/>
                <w:sz w:val="20"/>
                <w:szCs w:val="20"/>
              </w:rPr>
              <w:t xml:space="preserve">godkendt </w:t>
            </w:r>
            <w:r w:rsidR="0048072B" w:rsidRPr="004579E2">
              <w:rPr>
                <w:rFonts w:ascii="Open Sans" w:hAnsi="Open Sans" w:cs="Open Sans"/>
                <w:sz w:val="20"/>
                <w:szCs w:val="20"/>
              </w:rPr>
              <w:t>transportør</w:t>
            </w:r>
            <w:r w:rsidR="0027112A" w:rsidRPr="004579E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B22C6" w:rsidRPr="004579E2">
              <w:rPr>
                <w:rFonts w:ascii="Open Sans" w:hAnsi="Open Sans" w:cs="Open Sans"/>
                <w:sz w:val="20"/>
                <w:szCs w:val="20"/>
              </w:rPr>
              <w:t>og</w:t>
            </w:r>
            <w:r w:rsidR="0027112A" w:rsidRPr="004579E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D6120" w:rsidRPr="004579E2">
              <w:rPr>
                <w:rFonts w:ascii="Open Sans" w:hAnsi="Open Sans" w:cs="Open Sans"/>
                <w:sz w:val="20"/>
                <w:szCs w:val="20"/>
              </w:rPr>
              <w:t xml:space="preserve">godkendt </w:t>
            </w:r>
            <w:r w:rsidR="0027112A" w:rsidRPr="004579E2">
              <w:rPr>
                <w:rFonts w:ascii="Open Sans" w:hAnsi="Open Sans" w:cs="Open Sans"/>
                <w:sz w:val="20"/>
                <w:szCs w:val="20"/>
              </w:rPr>
              <w:t xml:space="preserve">modtager af </w:t>
            </w:r>
            <w:r w:rsidR="0048072B" w:rsidRPr="004579E2">
              <w:rPr>
                <w:rFonts w:ascii="Open Sans" w:hAnsi="Open Sans" w:cs="Open Sans"/>
                <w:sz w:val="20"/>
                <w:szCs w:val="20"/>
              </w:rPr>
              <w:t>asbest</w:t>
            </w:r>
            <w:r w:rsidR="0027112A" w:rsidRPr="004579E2">
              <w:rPr>
                <w:rFonts w:ascii="Open Sans" w:hAnsi="Open Sans" w:cs="Open Sans"/>
                <w:sz w:val="20"/>
                <w:szCs w:val="20"/>
              </w:rPr>
              <w:t>affaldet</w:t>
            </w:r>
            <w:r w:rsidRPr="004579E2">
              <w:rPr>
                <w:rFonts w:ascii="Open Sans" w:hAnsi="Open Sans" w:cs="Open Sans"/>
                <w:sz w:val="20"/>
                <w:szCs w:val="20"/>
              </w:rPr>
              <w:t xml:space="preserve">. Anmeldelsen skal ske </w:t>
            </w:r>
            <w:r w:rsidR="0027112A" w:rsidRPr="004579E2">
              <w:rPr>
                <w:rFonts w:ascii="Open Sans" w:hAnsi="Open Sans" w:cs="Open Sans"/>
                <w:sz w:val="20"/>
                <w:szCs w:val="20"/>
              </w:rPr>
              <w:t xml:space="preserve">senest </w:t>
            </w:r>
            <w:r w:rsidRPr="004579E2">
              <w:rPr>
                <w:rFonts w:ascii="Open Sans" w:hAnsi="Open Sans" w:cs="Open Sans"/>
                <w:sz w:val="20"/>
                <w:szCs w:val="20"/>
              </w:rPr>
              <w:t>14 dage før opstart af arbejdet</w:t>
            </w:r>
            <w:r w:rsidR="00EB22C6" w:rsidRPr="004579E2">
              <w:rPr>
                <w:rFonts w:ascii="Open Sans" w:hAnsi="Open Sans" w:cs="Open Sans"/>
                <w:sz w:val="20"/>
                <w:szCs w:val="20"/>
              </w:rPr>
              <w:t>.</w:t>
            </w:r>
            <w:r w:rsidR="0027112A" w:rsidRPr="004579E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D852164" w14:textId="77777777" w:rsidR="00BE7A3F" w:rsidRDefault="00BE7A3F" w:rsidP="00E05A7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C0696A6" w14:textId="230A4EFE" w:rsidR="0088336C" w:rsidRPr="004579E2" w:rsidRDefault="00EB22C6" w:rsidP="00E05A7D">
            <w:pPr>
              <w:rPr>
                <w:rFonts w:ascii="Open Sans" w:hAnsi="Open Sans" w:cs="Open Sans"/>
                <w:sz w:val="20"/>
                <w:szCs w:val="20"/>
              </w:rPr>
            </w:pPr>
            <w:r w:rsidRPr="004579E2">
              <w:rPr>
                <w:rFonts w:ascii="Open Sans" w:hAnsi="Open Sans" w:cs="Open Sans"/>
                <w:sz w:val="20"/>
                <w:szCs w:val="20"/>
              </w:rPr>
              <w:t>A</w:t>
            </w:r>
            <w:r w:rsidR="0027112A" w:rsidRPr="004579E2">
              <w:rPr>
                <w:rFonts w:ascii="Open Sans" w:hAnsi="Open Sans" w:cs="Open Sans"/>
                <w:sz w:val="20"/>
                <w:szCs w:val="20"/>
              </w:rPr>
              <w:t>rbejdet må ikke påbegyndes</w:t>
            </w:r>
            <w:r w:rsidRPr="004579E2">
              <w:rPr>
                <w:rFonts w:ascii="Open Sans" w:hAnsi="Open Sans" w:cs="Open Sans"/>
                <w:sz w:val="20"/>
                <w:szCs w:val="20"/>
              </w:rPr>
              <w:t>,</w:t>
            </w:r>
            <w:r w:rsidR="0027112A" w:rsidRPr="004579E2">
              <w:rPr>
                <w:rFonts w:ascii="Open Sans" w:hAnsi="Open Sans" w:cs="Open Sans"/>
                <w:sz w:val="20"/>
                <w:szCs w:val="20"/>
              </w:rPr>
              <w:t xml:space="preserve"> før</w:t>
            </w:r>
            <w:r w:rsidRPr="004579E2">
              <w:rPr>
                <w:rFonts w:ascii="Open Sans" w:hAnsi="Open Sans" w:cs="Open Sans"/>
                <w:sz w:val="20"/>
                <w:szCs w:val="20"/>
              </w:rPr>
              <w:t xml:space="preserve"> bygherren har modtaget en klassificering</w:t>
            </w:r>
            <w:r w:rsidR="00FD6120" w:rsidRPr="004579E2">
              <w:rPr>
                <w:rFonts w:ascii="Open Sans" w:hAnsi="Open Sans" w:cs="Open Sans"/>
                <w:sz w:val="20"/>
                <w:szCs w:val="20"/>
              </w:rPr>
              <w:t xml:space="preserve"> af affaldet</w:t>
            </w:r>
            <w:r w:rsidRPr="004579E2">
              <w:rPr>
                <w:rFonts w:ascii="Open Sans" w:hAnsi="Open Sans" w:cs="Open Sans"/>
                <w:sz w:val="20"/>
                <w:szCs w:val="20"/>
              </w:rPr>
              <w:t xml:space="preserve"> og</w:t>
            </w:r>
            <w:r w:rsidR="0048072B" w:rsidRPr="004579E2">
              <w:rPr>
                <w:rFonts w:ascii="Open Sans" w:hAnsi="Open Sans" w:cs="Open Sans"/>
                <w:sz w:val="20"/>
                <w:szCs w:val="20"/>
              </w:rPr>
              <w:t xml:space="preserve"> en</w:t>
            </w:r>
            <w:r w:rsidRPr="004579E2">
              <w:rPr>
                <w:rFonts w:ascii="Open Sans" w:hAnsi="Open Sans" w:cs="Open Sans"/>
                <w:sz w:val="20"/>
                <w:szCs w:val="20"/>
              </w:rPr>
              <w:t xml:space="preserve"> anvisning </w:t>
            </w:r>
            <w:r w:rsidR="00FD6120" w:rsidRPr="004579E2">
              <w:rPr>
                <w:rFonts w:ascii="Open Sans" w:hAnsi="Open Sans" w:cs="Open Sans"/>
                <w:sz w:val="20"/>
                <w:szCs w:val="20"/>
              </w:rPr>
              <w:t>af godkendt transportør og modtager</w:t>
            </w:r>
            <w:r w:rsidRPr="004579E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8072B" w:rsidRPr="004579E2">
              <w:rPr>
                <w:rFonts w:ascii="Open Sans" w:hAnsi="Open Sans" w:cs="Open Sans"/>
                <w:sz w:val="20"/>
                <w:szCs w:val="20"/>
              </w:rPr>
              <w:t>af asbest</w:t>
            </w:r>
            <w:r w:rsidRPr="004579E2">
              <w:rPr>
                <w:rFonts w:ascii="Open Sans" w:hAnsi="Open Sans" w:cs="Open Sans"/>
                <w:sz w:val="20"/>
                <w:szCs w:val="20"/>
              </w:rPr>
              <w:t>affaldet fra kommunen (eller tidligst 14 dage efter anmeldelse af asbestaffaldet er indsendt, hvis ikke kommunen har svaret</w:t>
            </w:r>
            <w:r w:rsidR="00F70AB0" w:rsidRPr="004579E2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4579E2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6AEF33F" w14:textId="77777777" w:rsidR="00FD6120" w:rsidRPr="004579E2" w:rsidRDefault="00FD6120" w:rsidP="00E05A7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C8C626C" w14:textId="77777777" w:rsidR="00FD6120" w:rsidRPr="004579E2" w:rsidRDefault="00FD6120" w:rsidP="00E05A7D">
            <w:pPr>
              <w:rPr>
                <w:rFonts w:ascii="Open Sans" w:hAnsi="Open Sans" w:cs="Open Sans"/>
                <w:sz w:val="20"/>
                <w:szCs w:val="20"/>
              </w:rPr>
            </w:pPr>
            <w:r w:rsidRPr="004579E2">
              <w:rPr>
                <w:rFonts w:ascii="Open Sans" w:hAnsi="Open Sans" w:cs="Open Sans"/>
                <w:sz w:val="20"/>
                <w:szCs w:val="20"/>
              </w:rPr>
              <w:t xml:space="preserve">Hvordan anmeldelsen skal foretages, varierer fra kommune til kommune. </w:t>
            </w:r>
          </w:p>
          <w:p w14:paraId="38A763A8" w14:textId="15BDB5CA" w:rsidR="00FD6120" w:rsidRPr="005F6435" w:rsidRDefault="00FD6120" w:rsidP="005F6435">
            <w:pPr>
              <w:pStyle w:val="Listeafsnit"/>
              <w:numPr>
                <w:ilvl w:val="0"/>
                <w:numId w:val="49"/>
              </w:numPr>
              <w:rPr>
                <w:rFonts w:ascii="Open Sans" w:hAnsi="Open Sans" w:cs="Open Sans"/>
                <w:sz w:val="18"/>
                <w:szCs w:val="18"/>
              </w:rPr>
            </w:pPr>
            <w:hyperlink r:id="rId11" w:history="1">
              <w:r w:rsidRPr="005F643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Start på </w:t>
              </w:r>
              <w:r w:rsidR="0048072B" w:rsidRPr="005F643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V</w:t>
              </w:r>
              <w:r w:rsidRPr="005F643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irk.dk</w:t>
              </w:r>
            </w:hyperlink>
          </w:p>
          <w:p w14:paraId="09DCD42E" w14:textId="77C492BE" w:rsidR="00BE7A3F" w:rsidRPr="005F6435" w:rsidRDefault="0048072B" w:rsidP="005F6435">
            <w:pPr>
              <w:pStyle w:val="Listeafsnit"/>
              <w:numPr>
                <w:ilvl w:val="0"/>
                <w:numId w:val="49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5F6435">
              <w:rPr>
                <w:rFonts w:ascii="Open Sans" w:hAnsi="Open Sans" w:cs="Open Sans"/>
                <w:sz w:val="20"/>
                <w:szCs w:val="20"/>
              </w:rPr>
              <w:t xml:space="preserve">Vælg Kommune </w:t>
            </w:r>
          </w:p>
          <w:p w14:paraId="5383095A" w14:textId="77777777" w:rsidR="00BF55AA" w:rsidRDefault="0048072B" w:rsidP="005F6435">
            <w:pPr>
              <w:pStyle w:val="Listeafsnit"/>
              <w:numPr>
                <w:ilvl w:val="0"/>
                <w:numId w:val="49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5F6435">
              <w:rPr>
                <w:rFonts w:ascii="Open Sans" w:hAnsi="Open Sans" w:cs="Open Sans"/>
                <w:sz w:val="20"/>
                <w:szCs w:val="20"/>
              </w:rPr>
              <w:t>Vælg Start selvbetjening og følg anvisningerne herfra</w:t>
            </w:r>
            <w:r w:rsidR="005F6435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  <w:p w14:paraId="40331785" w14:textId="77777777" w:rsidR="00BF55AA" w:rsidRDefault="00BF55AA" w:rsidP="00BF55A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CAAA4DC" w14:textId="5E9C95A2" w:rsidR="005C081F" w:rsidRPr="00BF55AA" w:rsidRDefault="0048072B" w:rsidP="00E05A7D">
            <w:pPr>
              <w:rPr>
                <w:rFonts w:ascii="Open Sans" w:hAnsi="Open Sans" w:cs="Open Sans"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sz w:val="20"/>
                <w:szCs w:val="20"/>
              </w:rPr>
              <w:t>En del kommuner anvender portalen Bygningsaffald.dk</w:t>
            </w:r>
          </w:p>
        </w:tc>
      </w:tr>
      <w:tr w:rsidR="005C081F" w14:paraId="2945EC80" w14:textId="77777777" w:rsidTr="00CA2549">
        <w:tc>
          <w:tcPr>
            <w:tcW w:w="4957" w:type="dxa"/>
          </w:tcPr>
          <w:p w14:paraId="27703C64" w14:textId="45E19BE9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Anmeldelsesdato:</w:t>
            </w:r>
          </w:p>
        </w:tc>
        <w:tc>
          <w:tcPr>
            <w:tcW w:w="4671" w:type="dxa"/>
          </w:tcPr>
          <w:p w14:paraId="17C986D2" w14:textId="10DB5742" w:rsidR="005C081F" w:rsidRPr="004579E2" w:rsidRDefault="005C081F" w:rsidP="005C08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081F" w14:paraId="1BBDEF33" w14:textId="77777777" w:rsidTr="00CA2549">
        <w:tc>
          <w:tcPr>
            <w:tcW w:w="4957" w:type="dxa"/>
          </w:tcPr>
          <w:p w14:paraId="7A8EA58A" w14:textId="7B2716A1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Bygherrens navn og adresse:</w:t>
            </w:r>
          </w:p>
        </w:tc>
        <w:tc>
          <w:tcPr>
            <w:tcW w:w="4671" w:type="dxa"/>
          </w:tcPr>
          <w:p w14:paraId="4D71A46E" w14:textId="77777777" w:rsidR="005C081F" w:rsidRPr="004579E2" w:rsidRDefault="005C081F" w:rsidP="005C08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081F" w14:paraId="7CF88333" w14:textId="77777777" w:rsidTr="00CA2549">
        <w:tc>
          <w:tcPr>
            <w:tcW w:w="4957" w:type="dxa"/>
          </w:tcPr>
          <w:p w14:paraId="608E25D5" w14:textId="259C084A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Byggepladsens/bygningens adresse:</w:t>
            </w:r>
          </w:p>
        </w:tc>
        <w:tc>
          <w:tcPr>
            <w:tcW w:w="4671" w:type="dxa"/>
          </w:tcPr>
          <w:p w14:paraId="484E3FF5" w14:textId="49AF3B12" w:rsidR="005C081F" w:rsidRPr="004579E2" w:rsidRDefault="005C081F" w:rsidP="005C08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081F" w14:paraId="63AF60E6" w14:textId="77777777" w:rsidTr="00CA2549">
        <w:tc>
          <w:tcPr>
            <w:tcW w:w="4957" w:type="dxa"/>
          </w:tcPr>
          <w:p w14:paraId="66C51CF2" w14:textId="6DF6C4A3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Byggepladsens/bygningens matrikelbetegnelse:</w:t>
            </w:r>
          </w:p>
        </w:tc>
        <w:tc>
          <w:tcPr>
            <w:tcW w:w="4671" w:type="dxa"/>
          </w:tcPr>
          <w:p w14:paraId="32F45D63" w14:textId="77777777" w:rsidR="005C081F" w:rsidRPr="004579E2" w:rsidRDefault="005C081F" w:rsidP="005C08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081F" w14:paraId="20AF5842" w14:textId="77777777" w:rsidTr="00CA2549">
        <w:tc>
          <w:tcPr>
            <w:tcW w:w="4957" w:type="dxa"/>
          </w:tcPr>
          <w:p w14:paraId="64CE3CA0" w14:textId="2EE2A58A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Dato forventet start af arbejdet:</w:t>
            </w:r>
          </w:p>
        </w:tc>
        <w:tc>
          <w:tcPr>
            <w:tcW w:w="4671" w:type="dxa"/>
          </w:tcPr>
          <w:p w14:paraId="56F8C521" w14:textId="6279EEF0" w:rsidR="005C081F" w:rsidRPr="004579E2" w:rsidRDefault="005C081F" w:rsidP="005C08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081F" w14:paraId="23AC8F60" w14:textId="77777777" w:rsidTr="00CA2549">
        <w:tc>
          <w:tcPr>
            <w:tcW w:w="4957" w:type="dxa"/>
          </w:tcPr>
          <w:p w14:paraId="01D9AA95" w14:textId="08DD5F45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Navn og adresse på den, der har udført asbestkortlægningen:</w:t>
            </w:r>
          </w:p>
        </w:tc>
        <w:tc>
          <w:tcPr>
            <w:tcW w:w="4671" w:type="dxa"/>
          </w:tcPr>
          <w:p w14:paraId="1671B800" w14:textId="77777777" w:rsidR="005C081F" w:rsidRPr="004579E2" w:rsidRDefault="005C081F" w:rsidP="005C08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081F" w14:paraId="6D028BF5" w14:textId="77777777" w:rsidTr="00CA2549">
        <w:tc>
          <w:tcPr>
            <w:tcW w:w="4957" w:type="dxa"/>
          </w:tcPr>
          <w:p w14:paraId="2E052946" w14:textId="2DECC89D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Dato for asbestkortlægningen:</w:t>
            </w:r>
          </w:p>
        </w:tc>
        <w:tc>
          <w:tcPr>
            <w:tcW w:w="4671" w:type="dxa"/>
          </w:tcPr>
          <w:p w14:paraId="170D1C47" w14:textId="7AD05F60" w:rsidR="005C081F" w:rsidRPr="004579E2" w:rsidRDefault="005C081F" w:rsidP="005C08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081F" w14:paraId="5A40CB35" w14:textId="77777777" w:rsidTr="00CA2549">
        <w:tc>
          <w:tcPr>
            <w:tcW w:w="4957" w:type="dxa"/>
          </w:tcPr>
          <w:p w14:paraId="15C030BD" w14:textId="6C306D57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Byggeår og evt. </w:t>
            </w:r>
            <w:proofErr w:type="spellStart"/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renoveringsår</w:t>
            </w:r>
            <w:proofErr w:type="spellEnd"/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 for bygning(er):</w:t>
            </w:r>
          </w:p>
        </w:tc>
        <w:tc>
          <w:tcPr>
            <w:tcW w:w="4671" w:type="dxa"/>
          </w:tcPr>
          <w:p w14:paraId="091A8A85" w14:textId="77777777" w:rsidR="005C081F" w:rsidRPr="004579E2" w:rsidRDefault="005C081F" w:rsidP="005C08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081F" w14:paraId="5D3BAAA4" w14:textId="77777777" w:rsidTr="00CA2549">
        <w:tc>
          <w:tcPr>
            <w:tcW w:w="4957" w:type="dxa"/>
          </w:tcPr>
          <w:p w14:paraId="02C0A79E" w14:textId="5938164E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Forekomst og koncentration asbest:</w:t>
            </w:r>
          </w:p>
        </w:tc>
        <w:tc>
          <w:tcPr>
            <w:tcW w:w="4671" w:type="dxa"/>
          </w:tcPr>
          <w:p w14:paraId="33EB1970" w14:textId="26E7DF30" w:rsidR="005C081F" w:rsidRPr="004579E2" w:rsidRDefault="005C081F" w:rsidP="005C08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081F" w14:paraId="5566E666" w14:textId="77777777" w:rsidTr="00CA2549">
        <w:tc>
          <w:tcPr>
            <w:tcW w:w="4957" w:type="dxa"/>
          </w:tcPr>
          <w:p w14:paraId="53B570B4" w14:textId="5939F5D1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Kortlægningsrapport med resultat af analyser af repræsentative prøver samt beskrivelse af screeningen, der ligger til grund for materialeprøver, herunder</w:t>
            </w:r>
          </w:p>
          <w:p w14:paraId="12083B65" w14:textId="003943E7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212529"/>
                <w:sz w:val="20"/>
                <w:szCs w:val="20"/>
              </w:rPr>
              <w:t>Indledende undersøgelse af, hvilke data der er tilgængelige om bygning</w:t>
            </w:r>
            <w:r w:rsidR="00CD0E8C" w:rsidRPr="00BF55AA">
              <w:rPr>
                <w:rFonts w:ascii="Open Sans" w:hAnsi="Open Sans" w:cs="Open Sans"/>
                <w:b/>
                <w:bCs/>
                <w:color w:val="212529"/>
                <w:sz w:val="20"/>
                <w:szCs w:val="20"/>
              </w:rPr>
              <w:t>(er)</w:t>
            </w:r>
            <w:r w:rsidRPr="00BF55AA">
              <w:rPr>
                <w:rFonts w:ascii="Open Sans" w:hAnsi="Open Sans" w:cs="Open Sans"/>
                <w:b/>
                <w:bCs/>
                <w:color w:val="212529"/>
                <w:sz w:val="20"/>
                <w:szCs w:val="20"/>
              </w:rPr>
              <w:t xml:space="preserve"> eller dele heraf herunder analyse af stamdata og tegninger, fx </w:t>
            </w:r>
            <w:proofErr w:type="gramStart"/>
            <w:r w:rsidRPr="00BF55AA">
              <w:rPr>
                <w:rFonts w:ascii="Open Sans" w:hAnsi="Open Sans" w:cs="Open Sans"/>
                <w:b/>
                <w:bCs/>
                <w:color w:val="212529"/>
                <w:sz w:val="20"/>
                <w:szCs w:val="20"/>
              </w:rPr>
              <w:t>BBR data</w:t>
            </w:r>
            <w:proofErr w:type="gramEnd"/>
            <w:r w:rsidRPr="00BF55AA">
              <w:rPr>
                <w:rFonts w:ascii="Open Sans" w:hAnsi="Open Sans" w:cs="Open Sans"/>
                <w:b/>
                <w:bCs/>
                <w:color w:val="212529"/>
                <w:sz w:val="20"/>
                <w:szCs w:val="20"/>
              </w:rPr>
              <w:t xml:space="preserve"> og info fra bygningsejer</w:t>
            </w:r>
          </w:p>
        </w:tc>
        <w:tc>
          <w:tcPr>
            <w:tcW w:w="4671" w:type="dxa"/>
          </w:tcPr>
          <w:p w14:paraId="60DB3AAD" w14:textId="77777777" w:rsidR="005C081F" w:rsidRPr="004579E2" w:rsidRDefault="005C081F" w:rsidP="005C08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081F" w14:paraId="2D6DA3D2" w14:textId="77777777" w:rsidTr="00CA2549">
        <w:tc>
          <w:tcPr>
            <w:tcW w:w="4957" w:type="dxa"/>
          </w:tcPr>
          <w:p w14:paraId="0F164C26" w14:textId="1F984365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Placering af materialet med asbest angivet med billede eller tegning, hvor der kan opstå tvivl</w:t>
            </w:r>
          </w:p>
        </w:tc>
        <w:tc>
          <w:tcPr>
            <w:tcW w:w="4671" w:type="dxa"/>
          </w:tcPr>
          <w:p w14:paraId="6573FAE9" w14:textId="3CE6C0A4" w:rsidR="005C081F" w:rsidRPr="004579E2" w:rsidRDefault="005C081F" w:rsidP="005C08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081F" w14:paraId="01B5DB3A" w14:textId="77777777" w:rsidTr="00CA2549">
        <w:tc>
          <w:tcPr>
            <w:tcW w:w="4957" w:type="dxa"/>
          </w:tcPr>
          <w:p w14:paraId="7A25D01C" w14:textId="2F5E45D2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Hvordan asbest gennem mærkning, skiltning eller andre tiltag er identificeret</w:t>
            </w:r>
          </w:p>
        </w:tc>
        <w:tc>
          <w:tcPr>
            <w:tcW w:w="4671" w:type="dxa"/>
          </w:tcPr>
          <w:p w14:paraId="17ADCD9E" w14:textId="3759CD2D" w:rsidR="005C081F" w:rsidRPr="004579E2" w:rsidRDefault="005C081F" w:rsidP="005C08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081F" w14:paraId="4A98DA21" w14:textId="77777777" w:rsidTr="00CA2549">
        <w:tc>
          <w:tcPr>
            <w:tcW w:w="4957" w:type="dxa"/>
          </w:tcPr>
          <w:p w14:paraId="3FEF37A1" w14:textId="4EA951BF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Hvordan materialer indeholdende eller forurenet med asbest er planlagt saneret, udsorteret, fjernet og håndteret</w:t>
            </w:r>
          </w:p>
        </w:tc>
        <w:tc>
          <w:tcPr>
            <w:tcW w:w="4671" w:type="dxa"/>
          </w:tcPr>
          <w:p w14:paraId="5735EB83" w14:textId="7CCAC578" w:rsidR="005C081F" w:rsidRPr="004579E2" w:rsidRDefault="005C081F" w:rsidP="005C08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081F" w14:paraId="7071E936" w14:textId="77777777" w:rsidTr="00CA2549">
        <w:tc>
          <w:tcPr>
            <w:tcW w:w="4957" w:type="dxa"/>
          </w:tcPr>
          <w:p w14:paraId="789E228C" w14:textId="50B1D8AA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De forventede affaldsmængder og -typer af asbest i kg eller m</w:t>
            </w: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 fordelt på EAK-koder underopdelt i affaldsfraktioner</w:t>
            </w:r>
          </w:p>
          <w:p w14:paraId="6712DF06" w14:textId="6640EAA8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sz w:val="20"/>
                <w:szCs w:val="20"/>
              </w:rPr>
              <w:t>17 06 01 Isolationsmateriale indeholdende asbest</w:t>
            </w:r>
          </w:p>
          <w:p w14:paraId="6A61B808" w14:textId="1B6D05B7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sz w:val="20"/>
                <w:szCs w:val="20"/>
              </w:rPr>
              <w:t>17 06 05 Asbestholdige byggematerialer</w:t>
            </w:r>
          </w:p>
          <w:p w14:paraId="09A925B7" w14:textId="77777777" w:rsidR="005C081F" w:rsidRDefault="005C081F" w:rsidP="005C081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17 06 06 Asbestholdige byggematerialer, støvende</w:t>
            </w:r>
          </w:p>
          <w:p w14:paraId="59482EF0" w14:textId="726E03BA" w:rsidR="00BF55AA" w:rsidRPr="00BF55AA" w:rsidRDefault="00BF55AA" w:rsidP="00BF55A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1" w:type="dxa"/>
          </w:tcPr>
          <w:p w14:paraId="413D8707" w14:textId="2582E6E4" w:rsidR="005C081F" w:rsidRPr="004579E2" w:rsidRDefault="005C081F" w:rsidP="005C08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081F" w14:paraId="3FE88105" w14:textId="77777777" w:rsidTr="00CA2549">
        <w:tc>
          <w:tcPr>
            <w:tcW w:w="4957" w:type="dxa"/>
          </w:tcPr>
          <w:p w14:paraId="30FAE48B" w14:textId="51D1C826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Affaldstransportør, som påtænkes anvendt, og dokumentation for, at transportøren er godkendt til transport af asbest i </w:t>
            </w:r>
            <w:hyperlink r:id="rId12" w:history="1">
              <w:r w:rsidRPr="00BF55AA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Affaldsregistret</w:t>
              </w:r>
            </w:hyperlink>
          </w:p>
        </w:tc>
        <w:tc>
          <w:tcPr>
            <w:tcW w:w="4671" w:type="dxa"/>
          </w:tcPr>
          <w:p w14:paraId="241E77D9" w14:textId="2213403A" w:rsidR="005C081F" w:rsidRPr="004579E2" w:rsidRDefault="005C081F" w:rsidP="005C08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C081F" w14:paraId="6C088D05" w14:textId="77777777" w:rsidTr="00CA2549">
        <w:tc>
          <w:tcPr>
            <w:tcW w:w="4957" w:type="dxa"/>
          </w:tcPr>
          <w:p w14:paraId="49778940" w14:textId="77F84433" w:rsidR="005C081F" w:rsidRPr="00BF55AA" w:rsidRDefault="005C081F" w:rsidP="005C081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F55A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Modtager af asbestaffaldet, som påtænkes anvendt, og dokumentation for et modtageren er godkendt til at modtage asbestaffald i </w:t>
            </w:r>
            <w:hyperlink r:id="rId13" w:history="1">
              <w:r w:rsidRPr="00BF55AA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Affaldsregistret</w:t>
              </w:r>
            </w:hyperlink>
          </w:p>
        </w:tc>
        <w:tc>
          <w:tcPr>
            <w:tcW w:w="4671" w:type="dxa"/>
          </w:tcPr>
          <w:p w14:paraId="09D92FB9" w14:textId="77777777" w:rsidR="005C081F" w:rsidRPr="004579E2" w:rsidRDefault="005C081F" w:rsidP="005C081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036876E" w14:textId="0A483568" w:rsidR="0088336C" w:rsidRDefault="0088336C" w:rsidP="0088336C"/>
    <w:sectPr w:rsidR="0088336C" w:rsidSect="00ED5233">
      <w:headerReference w:type="default" r:id="rId14"/>
      <w:footerReference w:type="default" r:id="rId15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A7A71" w14:textId="77777777" w:rsidR="00DE42C0" w:rsidRDefault="00DE42C0" w:rsidP="00327DB7">
      <w:pPr>
        <w:spacing w:after="0" w:line="240" w:lineRule="auto"/>
      </w:pPr>
      <w:r>
        <w:separator/>
      </w:r>
    </w:p>
  </w:endnote>
  <w:endnote w:type="continuationSeparator" w:id="0">
    <w:p w14:paraId="3A87146F" w14:textId="77777777" w:rsidR="00DE42C0" w:rsidRDefault="00DE42C0" w:rsidP="0032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3969"/>
    </w:tblGrid>
    <w:tr w:rsidR="00456E0A" w14:paraId="41831DB5" w14:textId="77777777" w:rsidTr="00A3761E">
      <w:trPr>
        <w:trHeight w:val="510"/>
      </w:trPr>
      <w:tc>
        <w:tcPr>
          <w:tcW w:w="5920" w:type="dxa"/>
          <w:vAlign w:val="bottom"/>
        </w:tcPr>
        <w:p w14:paraId="4F1996C9" w14:textId="77777777" w:rsidR="00456E0A" w:rsidRPr="00C456F0" w:rsidRDefault="00456E0A" w:rsidP="00456E0A">
          <w:pPr>
            <w:pStyle w:val="Sidefod"/>
          </w:pPr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 xml:space="preserve">70 10 90 </w:t>
          </w:r>
          <w:proofErr w:type="gramStart"/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>80</w:t>
          </w:r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•</w:t>
          </w:r>
          <w:proofErr w:type="gramEnd"/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mail@humanhouse.com  •  www.humanhouse.com</w:t>
          </w:r>
        </w:p>
      </w:tc>
      <w:tc>
        <w:tcPr>
          <w:tcW w:w="3969" w:type="dxa"/>
          <w:vAlign w:val="bottom"/>
        </w:tcPr>
        <w:p w14:paraId="23BA6A0C" w14:textId="77777777" w:rsidR="00456E0A" w:rsidRPr="00951D24" w:rsidRDefault="00456E0A" w:rsidP="00456E0A">
          <w:pPr>
            <w:jc w:val="right"/>
            <w:rPr>
              <w:rFonts w:eastAsiaTheme="minorEastAsia"/>
              <w:b/>
              <w:bCs/>
              <w:noProof/>
              <w:color w:val="002060"/>
              <w:sz w:val="21"/>
              <w:szCs w:val="21"/>
              <w:lang w:eastAsia="da-DK"/>
            </w:rPr>
          </w:pPr>
          <w:r w:rsidRPr="00510CC0">
            <w:rPr>
              <w:noProof/>
              <w:color w:val="3B3B3B"/>
            </w:rPr>
            <w:drawing>
              <wp:anchor distT="0" distB="0" distL="114300" distR="114300" simplePos="0" relativeHeight="251658240" behindDoc="0" locked="0" layoutInCell="1" allowOverlap="1" wp14:anchorId="4907DB39" wp14:editId="168A1B9A">
                <wp:simplePos x="0" y="0"/>
                <wp:positionH relativeFrom="column">
                  <wp:posOffset>908050</wp:posOffset>
                </wp:positionH>
                <wp:positionV relativeFrom="paragraph">
                  <wp:posOffset>-635</wp:posOffset>
                </wp:positionV>
                <wp:extent cx="1550670" cy="318770"/>
                <wp:effectExtent l="0" t="0" r="0" b="5080"/>
                <wp:wrapNone/>
                <wp:docPr id="30" name="Billede 30" descr="Et billede, der indeholder Font/skrifttype, tekst, Grafik, grafisk desig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Billede 30" descr="Et billede, der indeholder Font/skrifttype, tekst, Grafik, grafisk design&#10;&#10;Automatisk generere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0670" cy="318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02D8B" w14:paraId="2E031556" w14:textId="77777777" w:rsidTr="38AE4F50">
      <w:trPr>
        <w:trHeight w:val="510"/>
      </w:trPr>
      <w:tc>
        <w:tcPr>
          <w:tcW w:w="5920" w:type="dxa"/>
          <w:vAlign w:val="bottom"/>
        </w:tcPr>
        <w:p w14:paraId="40ED5A15" w14:textId="265B9DD0" w:rsidR="00602D8B" w:rsidRPr="00C456F0" w:rsidRDefault="38AE4F50" w:rsidP="38AE4F50">
          <w:pPr>
            <w:pStyle w:val="Sidefod"/>
            <w:spacing w:before="120"/>
            <w:rPr>
              <w:noProof/>
            </w:rPr>
          </w:pPr>
          <w:r w:rsidRPr="38AE4F50">
            <w:rPr>
              <w:rFonts w:ascii="Open Sans" w:eastAsia="Open Sans" w:hAnsi="Open Sans" w:cs="Open Sans"/>
              <w:noProof/>
              <w:color w:val="000000" w:themeColor="text1"/>
              <w:sz w:val="18"/>
              <w:szCs w:val="18"/>
            </w:rPr>
            <w:t xml:space="preserve">Version </w:t>
          </w:r>
          <w:r w:rsidR="00456E0A">
            <w:rPr>
              <w:rFonts w:ascii="Open Sans" w:eastAsia="Open Sans" w:hAnsi="Open Sans" w:cs="Open Sans"/>
              <w:noProof/>
              <w:color w:val="000000" w:themeColor="text1"/>
              <w:sz w:val="18"/>
              <w:szCs w:val="18"/>
            </w:rPr>
            <w:t>2</w:t>
          </w:r>
          <w:r w:rsidRPr="38AE4F50">
            <w:rPr>
              <w:rFonts w:ascii="Open Sans" w:eastAsia="Open Sans" w:hAnsi="Open Sans" w:cs="Open Sans"/>
              <w:noProof/>
              <w:color w:val="000000" w:themeColor="text1"/>
              <w:sz w:val="18"/>
              <w:szCs w:val="18"/>
            </w:rPr>
            <w:t>_</w:t>
          </w:r>
          <w:r w:rsidR="00456E0A">
            <w:rPr>
              <w:rFonts w:ascii="Open Sans" w:eastAsia="Open Sans" w:hAnsi="Open Sans" w:cs="Open Sans"/>
              <w:noProof/>
              <w:color w:val="000000" w:themeColor="text1"/>
              <w:sz w:val="18"/>
              <w:szCs w:val="18"/>
            </w:rPr>
            <w:t>28</w:t>
          </w:r>
          <w:r w:rsidRPr="38AE4F50">
            <w:rPr>
              <w:rFonts w:ascii="Open Sans" w:eastAsia="Open Sans" w:hAnsi="Open Sans" w:cs="Open Sans"/>
              <w:noProof/>
              <w:color w:val="000000" w:themeColor="text1"/>
              <w:sz w:val="18"/>
              <w:szCs w:val="18"/>
            </w:rPr>
            <w:t>. oktober 2024</w:t>
          </w:r>
        </w:p>
      </w:tc>
      <w:tc>
        <w:tcPr>
          <w:tcW w:w="3969" w:type="dxa"/>
          <w:vAlign w:val="bottom"/>
        </w:tcPr>
        <w:p w14:paraId="6CA5C1A7" w14:textId="53AACD01" w:rsidR="00602D8B" w:rsidRPr="00951D24" w:rsidRDefault="00602D8B" w:rsidP="00602D8B">
          <w:pPr>
            <w:jc w:val="right"/>
            <w:rPr>
              <w:rFonts w:eastAsiaTheme="minorEastAsia"/>
              <w:b/>
              <w:bCs/>
              <w:noProof/>
              <w:color w:val="002060"/>
              <w:sz w:val="21"/>
              <w:szCs w:val="21"/>
              <w:lang w:eastAsia="da-DK"/>
            </w:rPr>
          </w:pPr>
        </w:p>
      </w:tc>
    </w:tr>
  </w:tbl>
  <w:p w14:paraId="4F8F0D63" w14:textId="52E294AC" w:rsidR="000C3C5B" w:rsidRPr="00355550" w:rsidRDefault="000C3C5B" w:rsidP="00C456F0">
    <w:pPr>
      <w:pStyle w:val="Sidefo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098E8" w14:textId="77777777" w:rsidR="00DE42C0" w:rsidRDefault="00DE42C0" w:rsidP="00327DB7">
      <w:pPr>
        <w:spacing w:after="0" w:line="240" w:lineRule="auto"/>
      </w:pPr>
      <w:r>
        <w:separator/>
      </w:r>
    </w:p>
  </w:footnote>
  <w:footnote w:type="continuationSeparator" w:id="0">
    <w:p w14:paraId="0F9AB880" w14:textId="77777777" w:rsidR="00DE42C0" w:rsidRDefault="00DE42C0" w:rsidP="00327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8AE4F50" w14:paraId="0320917A" w14:textId="77777777" w:rsidTr="38AE4F50">
      <w:trPr>
        <w:trHeight w:val="300"/>
      </w:trPr>
      <w:tc>
        <w:tcPr>
          <w:tcW w:w="3210" w:type="dxa"/>
        </w:tcPr>
        <w:p w14:paraId="2DF45ABA" w14:textId="0DD98146" w:rsidR="38AE4F50" w:rsidRDefault="38AE4F50" w:rsidP="38AE4F50">
          <w:pPr>
            <w:pStyle w:val="Sidehoved"/>
            <w:ind w:left="-115"/>
          </w:pPr>
        </w:p>
      </w:tc>
      <w:tc>
        <w:tcPr>
          <w:tcW w:w="3210" w:type="dxa"/>
        </w:tcPr>
        <w:p w14:paraId="08E80422" w14:textId="5A12D88E" w:rsidR="38AE4F50" w:rsidRDefault="38AE4F50" w:rsidP="38AE4F50">
          <w:pPr>
            <w:pStyle w:val="Sidehoved"/>
            <w:jc w:val="center"/>
          </w:pPr>
        </w:p>
      </w:tc>
      <w:tc>
        <w:tcPr>
          <w:tcW w:w="3210" w:type="dxa"/>
        </w:tcPr>
        <w:p w14:paraId="687C0859" w14:textId="6CD2B634" w:rsidR="38AE4F50" w:rsidRDefault="38AE4F50" w:rsidP="38AE4F50">
          <w:pPr>
            <w:pStyle w:val="Sidehoved"/>
            <w:ind w:right="-115"/>
            <w:jc w:val="right"/>
          </w:pPr>
        </w:p>
      </w:tc>
    </w:tr>
  </w:tbl>
  <w:p w14:paraId="66FC8F10" w14:textId="77A49826" w:rsidR="38AE4F50" w:rsidRDefault="38AE4F50" w:rsidP="38AE4F5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9C4"/>
    <w:multiLevelType w:val="hybridMultilevel"/>
    <w:tmpl w:val="98046A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CBC"/>
    <w:multiLevelType w:val="hybridMultilevel"/>
    <w:tmpl w:val="960CF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5EC2"/>
    <w:multiLevelType w:val="hybridMultilevel"/>
    <w:tmpl w:val="F33AA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328"/>
    <w:multiLevelType w:val="hybridMultilevel"/>
    <w:tmpl w:val="2ACE720E"/>
    <w:lvl w:ilvl="0" w:tplc="F066F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866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2E4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08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AC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A7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08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440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8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C2497C"/>
    <w:multiLevelType w:val="hybridMultilevel"/>
    <w:tmpl w:val="B5F61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69B4"/>
    <w:multiLevelType w:val="hybridMultilevel"/>
    <w:tmpl w:val="C466F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297D"/>
    <w:multiLevelType w:val="hybridMultilevel"/>
    <w:tmpl w:val="C2027C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05708"/>
    <w:multiLevelType w:val="hybridMultilevel"/>
    <w:tmpl w:val="2722AA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3519"/>
    <w:multiLevelType w:val="hybridMultilevel"/>
    <w:tmpl w:val="6E228F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664A1"/>
    <w:multiLevelType w:val="hybridMultilevel"/>
    <w:tmpl w:val="A1A6ED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0553C"/>
    <w:multiLevelType w:val="hybridMultilevel"/>
    <w:tmpl w:val="3500C4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62FEB"/>
    <w:multiLevelType w:val="hybridMultilevel"/>
    <w:tmpl w:val="ED5812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67C36"/>
    <w:multiLevelType w:val="hybridMultilevel"/>
    <w:tmpl w:val="EE9A08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06D6E"/>
    <w:multiLevelType w:val="hybridMultilevel"/>
    <w:tmpl w:val="D11256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A1326"/>
    <w:multiLevelType w:val="hybridMultilevel"/>
    <w:tmpl w:val="7D56E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B139D"/>
    <w:multiLevelType w:val="multilevel"/>
    <w:tmpl w:val="274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BC4845"/>
    <w:multiLevelType w:val="hybridMultilevel"/>
    <w:tmpl w:val="7C868C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A6A4C"/>
    <w:multiLevelType w:val="hybridMultilevel"/>
    <w:tmpl w:val="5CEC6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4157B"/>
    <w:multiLevelType w:val="hybridMultilevel"/>
    <w:tmpl w:val="9CB41D64"/>
    <w:lvl w:ilvl="0" w:tplc="3FC027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C617D"/>
    <w:multiLevelType w:val="hybridMultilevel"/>
    <w:tmpl w:val="7A080B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4331C"/>
    <w:multiLevelType w:val="hybridMultilevel"/>
    <w:tmpl w:val="09F2C2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818BF"/>
    <w:multiLevelType w:val="hybridMultilevel"/>
    <w:tmpl w:val="399A3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90025"/>
    <w:multiLevelType w:val="hybridMultilevel"/>
    <w:tmpl w:val="6CFC6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9133C"/>
    <w:multiLevelType w:val="hybridMultilevel"/>
    <w:tmpl w:val="425E9C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B393C"/>
    <w:multiLevelType w:val="hybridMultilevel"/>
    <w:tmpl w:val="EBE2C1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16868"/>
    <w:multiLevelType w:val="hybridMultilevel"/>
    <w:tmpl w:val="4724C4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51A45"/>
    <w:multiLevelType w:val="hybridMultilevel"/>
    <w:tmpl w:val="E84EA0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D49A3"/>
    <w:multiLevelType w:val="hybridMultilevel"/>
    <w:tmpl w:val="79566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C370F"/>
    <w:multiLevelType w:val="hybridMultilevel"/>
    <w:tmpl w:val="DB0E24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F1B1E"/>
    <w:multiLevelType w:val="hybridMultilevel"/>
    <w:tmpl w:val="E49E3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32B2D"/>
    <w:multiLevelType w:val="hybridMultilevel"/>
    <w:tmpl w:val="23920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E4FEF"/>
    <w:multiLevelType w:val="hybridMultilevel"/>
    <w:tmpl w:val="929E46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A4233"/>
    <w:multiLevelType w:val="hybridMultilevel"/>
    <w:tmpl w:val="E3027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7567F9"/>
    <w:multiLevelType w:val="hybridMultilevel"/>
    <w:tmpl w:val="1124D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233C2"/>
    <w:multiLevelType w:val="hybridMultilevel"/>
    <w:tmpl w:val="938A7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365160"/>
    <w:multiLevelType w:val="hybridMultilevel"/>
    <w:tmpl w:val="231EBE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B7952"/>
    <w:multiLevelType w:val="hybridMultilevel"/>
    <w:tmpl w:val="02B67DCC"/>
    <w:lvl w:ilvl="0" w:tplc="3FC027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D0EA6"/>
    <w:multiLevelType w:val="hybridMultilevel"/>
    <w:tmpl w:val="76FAF4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B26C4"/>
    <w:multiLevelType w:val="hybridMultilevel"/>
    <w:tmpl w:val="ACA006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226F3"/>
    <w:multiLevelType w:val="hybridMultilevel"/>
    <w:tmpl w:val="DF4C1B2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17B12"/>
    <w:multiLevelType w:val="hybridMultilevel"/>
    <w:tmpl w:val="8674A9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F0B2F"/>
    <w:multiLevelType w:val="hybridMultilevel"/>
    <w:tmpl w:val="3A764E54"/>
    <w:lvl w:ilvl="0" w:tplc="3FC027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069B8"/>
    <w:multiLevelType w:val="hybridMultilevel"/>
    <w:tmpl w:val="F470F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4369A"/>
    <w:multiLevelType w:val="hybridMultilevel"/>
    <w:tmpl w:val="DE2CE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D3295"/>
    <w:multiLevelType w:val="hybridMultilevel"/>
    <w:tmpl w:val="7CB247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828BF"/>
    <w:multiLevelType w:val="hybridMultilevel"/>
    <w:tmpl w:val="DC72A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33581"/>
    <w:multiLevelType w:val="hybridMultilevel"/>
    <w:tmpl w:val="C0E21E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25733"/>
    <w:multiLevelType w:val="hybridMultilevel"/>
    <w:tmpl w:val="D01EC6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A0D53"/>
    <w:multiLevelType w:val="hybridMultilevel"/>
    <w:tmpl w:val="D08033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428177">
    <w:abstractNumId w:val="31"/>
  </w:num>
  <w:num w:numId="2" w16cid:durableId="16008975">
    <w:abstractNumId w:val="24"/>
  </w:num>
  <w:num w:numId="3" w16cid:durableId="901522331">
    <w:abstractNumId w:val="34"/>
  </w:num>
  <w:num w:numId="4" w16cid:durableId="853879437">
    <w:abstractNumId w:val="13"/>
  </w:num>
  <w:num w:numId="5" w16cid:durableId="436560886">
    <w:abstractNumId w:val="32"/>
  </w:num>
  <w:num w:numId="6" w16cid:durableId="1666666167">
    <w:abstractNumId w:val="30"/>
  </w:num>
  <w:num w:numId="7" w16cid:durableId="1947233348">
    <w:abstractNumId w:val="5"/>
  </w:num>
  <w:num w:numId="8" w16cid:durableId="1942227504">
    <w:abstractNumId w:val="17"/>
  </w:num>
  <w:num w:numId="9" w16cid:durableId="1823812273">
    <w:abstractNumId w:val="10"/>
  </w:num>
  <w:num w:numId="10" w16cid:durableId="129516323">
    <w:abstractNumId w:val="11"/>
  </w:num>
  <w:num w:numId="11" w16cid:durableId="705104498">
    <w:abstractNumId w:val="45"/>
  </w:num>
  <w:num w:numId="12" w16cid:durableId="635525701">
    <w:abstractNumId w:val="2"/>
  </w:num>
  <w:num w:numId="13" w16cid:durableId="833374309">
    <w:abstractNumId w:val="21"/>
  </w:num>
  <w:num w:numId="14" w16cid:durableId="224343204">
    <w:abstractNumId w:val="19"/>
  </w:num>
  <w:num w:numId="15" w16cid:durableId="1647390646">
    <w:abstractNumId w:val="8"/>
  </w:num>
  <w:num w:numId="16" w16cid:durableId="2077429841">
    <w:abstractNumId w:val="44"/>
  </w:num>
  <w:num w:numId="17" w16cid:durableId="1924030512">
    <w:abstractNumId w:val="48"/>
  </w:num>
  <w:num w:numId="18" w16cid:durableId="1954507670">
    <w:abstractNumId w:val="27"/>
  </w:num>
  <w:num w:numId="19" w16cid:durableId="1396850483">
    <w:abstractNumId w:val="0"/>
  </w:num>
  <w:num w:numId="20" w16cid:durableId="1970819496">
    <w:abstractNumId w:val="6"/>
  </w:num>
  <w:num w:numId="21" w16cid:durableId="1781997695">
    <w:abstractNumId w:val="22"/>
  </w:num>
  <w:num w:numId="22" w16cid:durableId="23559632">
    <w:abstractNumId w:val="23"/>
  </w:num>
  <w:num w:numId="23" w16cid:durableId="684021912">
    <w:abstractNumId w:val="37"/>
  </w:num>
  <w:num w:numId="24" w16cid:durableId="1653169861">
    <w:abstractNumId w:val="29"/>
  </w:num>
  <w:num w:numId="25" w16cid:durableId="651560757">
    <w:abstractNumId w:val="39"/>
  </w:num>
  <w:num w:numId="26" w16cid:durableId="1254320204">
    <w:abstractNumId w:val="16"/>
  </w:num>
  <w:num w:numId="27" w16cid:durableId="850412875">
    <w:abstractNumId w:val="9"/>
  </w:num>
  <w:num w:numId="28" w16cid:durableId="569076652">
    <w:abstractNumId w:val="38"/>
  </w:num>
  <w:num w:numId="29" w16cid:durableId="1456677546">
    <w:abstractNumId w:val="41"/>
  </w:num>
  <w:num w:numId="30" w16cid:durableId="417287672">
    <w:abstractNumId w:val="47"/>
  </w:num>
  <w:num w:numId="31" w16cid:durableId="1931617730">
    <w:abstractNumId w:val="25"/>
  </w:num>
  <w:num w:numId="32" w16cid:durableId="468279175">
    <w:abstractNumId w:val="14"/>
  </w:num>
  <w:num w:numId="33" w16cid:durableId="1134297117">
    <w:abstractNumId w:val="26"/>
  </w:num>
  <w:num w:numId="34" w16cid:durableId="1530340185">
    <w:abstractNumId w:val="12"/>
  </w:num>
  <w:num w:numId="35" w16cid:durableId="1580138676">
    <w:abstractNumId w:val="33"/>
  </w:num>
  <w:num w:numId="36" w16cid:durableId="1057969824">
    <w:abstractNumId w:val="4"/>
  </w:num>
  <w:num w:numId="37" w16cid:durableId="589506464">
    <w:abstractNumId w:val="36"/>
  </w:num>
  <w:num w:numId="38" w16cid:durableId="1018121770">
    <w:abstractNumId w:val="18"/>
  </w:num>
  <w:num w:numId="39" w16cid:durableId="2066103930">
    <w:abstractNumId w:val="7"/>
  </w:num>
  <w:num w:numId="40" w16cid:durableId="1493181166">
    <w:abstractNumId w:val="42"/>
  </w:num>
  <w:num w:numId="41" w16cid:durableId="1925066673">
    <w:abstractNumId w:val="15"/>
  </w:num>
  <w:num w:numId="42" w16cid:durableId="1025793578">
    <w:abstractNumId w:val="35"/>
  </w:num>
  <w:num w:numId="43" w16cid:durableId="1576087094">
    <w:abstractNumId w:val="43"/>
  </w:num>
  <w:num w:numId="44" w16cid:durableId="1453017779">
    <w:abstractNumId w:val="1"/>
  </w:num>
  <w:num w:numId="45" w16cid:durableId="1587298487">
    <w:abstractNumId w:val="28"/>
  </w:num>
  <w:num w:numId="46" w16cid:durableId="1699966028">
    <w:abstractNumId w:val="40"/>
  </w:num>
  <w:num w:numId="47" w16cid:durableId="1445885977">
    <w:abstractNumId w:val="3"/>
  </w:num>
  <w:num w:numId="48" w16cid:durableId="1672637344">
    <w:abstractNumId w:val="46"/>
  </w:num>
  <w:num w:numId="49" w16cid:durableId="637875424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43"/>
    <w:rsid w:val="00005650"/>
    <w:rsid w:val="000150DB"/>
    <w:rsid w:val="00021A41"/>
    <w:rsid w:val="0002619B"/>
    <w:rsid w:val="00035D10"/>
    <w:rsid w:val="00036179"/>
    <w:rsid w:val="00054C34"/>
    <w:rsid w:val="00055103"/>
    <w:rsid w:val="00055C2A"/>
    <w:rsid w:val="00062A0D"/>
    <w:rsid w:val="000662F1"/>
    <w:rsid w:val="000749D7"/>
    <w:rsid w:val="00076ACC"/>
    <w:rsid w:val="00085BB8"/>
    <w:rsid w:val="00085D2F"/>
    <w:rsid w:val="0008614D"/>
    <w:rsid w:val="0008728B"/>
    <w:rsid w:val="0009098E"/>
    <w:rsid w:val="00097217"/>
    <w:rsid w:val="000A69B9"/>
    <w:rsid w:val="000B69C4"/>
    <w:rsid w:val="000C3C5B"/>
    <w:rsid w:val="000D02A2"/>
    <w:rsid w:val="000D362D"/>
    <w:rsid w:val="000D6D4A"/>
    <w:rsid w:val="000E2343"/>
    <w:rsid w:val="000F45DC"/>
    <w:rsid w:val="000F74A5"/>
    <w:rsid w:val="00120871"/>
    <w:rsid w:val="00120E27"/>
    <w:rsid w:val="001212F0"/>
    <w:rsid w:val="00122A2C"/>
    <w:rsid w:val="0012561D"/>
    <w:rsid w:val="00131624"/>
    <w:rsid w:val="00137C8F"/>
    <w:rsid w:val="00142658"/>
    <w:rsid w:val="00145DC2"/>
    <w:rsid w:val="00153D0E"/>
    <w:rsid w:val="001558C8"/>
    <w:rsid w:val="00161EB0"/>
    <w:rsid w:val="00165109"/>
    <w:rsid w:val="00167D00"/>
    <w:rsid w:val="001842D7"/>
    <w:rsid w:val="00186509"/>
    <w:rsid w:val="00190A93"/>
    <w:rsid w:val="00194515"/>
    <w:rsid w:val="00195F6B"/>
    <w:rsid w:val="00196C32"/>
    <w:rsid w:val="001A0A5C"/>
    <w:rsid w:val="001A2686"/>
    <w:rsid w:val="001B03AF"/>
    <w:rsid w:val="001D0539"/>
    <w:rsid w:val="001D1107"/>
    <w:rsid w:val="001E5024"/>
    <w:rsid w:val="001F298C"/>
    <w:rsid w:val="001F3ACE"/>
    <w:rsid w:val="001F3B51"/>
    <w:rsid w:val="00200995"/>
    <w:rsid w:val="002052F4"/>
    <w:rsid w:val="00236BB3"/>
    <w:rsid w:val="00237A67"/>
    <w:rsid w:val="00241035"/>
    <w:rsid w:val="00243341"/>
    <w:rsid w:val="00253572"/>
    <w:rsid w:val="00264737"/>
    <w:rsid w:val="0027112A"/>
    <w:rsid w:val="0027496E"/>
    <w:rsid w:val="00280ED9"/>
    <w:rsid w:val="00290AF8"/>
    <w:rsid w:val="0029387A"/>
    <w:rsid w:val="002B0D5D"/>
    <w:rsid w:val="002D2355"/>
    <w:rsid w:val="002D34A2"/>
    <w:rsid w:val="0030525F"/>
    <w:rsid w:val="00321625"/>
    <w:rsid w:val="00327DB7"/>
    <w:rsid w:val="003321DC"/>
    <w:rsid w:val="003353A6"/>
    <w:rsid w:val="00336C94"/>
    <w:rsid w:val="0035470A"/>
    <w:rsid w:val="00355550"/>
    <w:rsid w:val="0036360A"/>
    <w:rsid w:val="003701AC"/>
    <w:rsid w:val="00371F1F"/>
    <w:rsid w:val="003817A8"/>
    <w:rsid w:val="0038287E"/>
    <w:rsid w:val="00386A02"/>
    <w:rsid w:val="003A7699"/>
    <w:rsid w:val="003B016D"/>
    <w:rsid w:val="003B069E"/>
    <w:rsid w:val="003B2098"/>
    <w:rsid w:val="003B7A7A"/>
    <w:rsid w:val="003C2B9D"/>
    <w:rsid w:val="003D18CF"/>
    <w:rsid w:val="003D5201"/>
    <w:rsid w:val="003D71CD"/>
    <w:rsid w:val="003D7A07"/>
    <w:rsid w:val="003D7D69"/>
    <w:rsid w:val="003E2493"/>
    <w:rsid w:val="003E5E9F"/>
    <w:rsid w:val="003F14A4"/>
    <w:rsid w:val="003F2A78"/>
    <w:rsid w:val="00402C61"/>
    <w:rsid w:val="00403CE6"/>
    <w:rsid w:val="00404411"/>
    <w:rsid w:val="00413E95"/>
    <w:rsid w:val="00417D61"/>
    <w:rsid w:val="00420BB7"/>
    <w:rsid w:val="00445748"/>
    <w:rsid w:val="00456E0A"/>
    <w:rsid w:val="004579E2"/>
    <w:rsid w:val="004601C4"/>
    <w:rsid w:val="004608A0"/>
    <w:rsid w:val="00464FA2"/>
    <w:rsid w:val="00473DD5"/>
    <w:rsid w:val="00474118"/>
    <w:rsid w:val="0048072B"/>
    <w:rsid w:val="004821D5"/>
    <w:rsid w:val="0048461F"/>
    <w:rsid w:val="004A3E55"/>
    <w:rsid w:val="004B043A"/>
    <w:rsid w:val="004B1353"/>
    <w:rsid w:val="004B3B57"/>
    <w:rsid w:val="004C13FE"/>
    <w:rsid w:val="004D4389"/>
    <w:rsid w:val="004D749C"/>
    <w:rsid w:val="004E303D"/>
    <w:rsid w:val="004E5849"/>
    <w:rsid w:val="004E6E1E"/>
    <w:rsid w:val="004F351A"/>
    <w:rsid w:val="004F5D5A"/>
    <w:rsid w:val="004F6E98"/>
    <w:rsid w:val="0050774B"/>
    <w:rsid w:val="00520556"/>
    <w:rsid w:val="005220EF"/>
    <w:rsid w:val="00527074"/>
    <w:rsid w:val="00530889"/>
    <w:rsid w:val="00530A4A"/>
    <w:rsid w:val="0053336D"/>
    <w:rsid w:val="005451CA"/>
    <w:rsid w:val="00555296"/>
    <w:rsid w:val="005556E4"/>
    <w:rsid w:val="00576199"/>
    <w:rsid w:val="00582529"/>
    <w:rsid w:val="00582AB5"/>
    <w:rsid w:val="00582C5B"/>
    <w:rsid w:val="00590A9B"/>
    <w:rsid w:val="00594ABE"/>
    <w:rsid w:val="00595FBE"/>
    <w:rsid w:val="00597423"/>
    <w:rsid w:val="005A18C5"/>
    <w:rsid w:val="005A1DF0"/>
    <w:rsid w:val="005B3450"/>
    <w:rsid w:val="005B465A"/>
    <w:rsid w:val="005C081F"/>
    <w:rsid w:val="005C309D"/>
    <w:rsid w:val="005C3C47"/>
    <w:rsid w:val="005C764D"/>
    <w:rsid w:val="005E295F"/>
    <w:rsid w:val="005F049F"/>
    <w:rsid w:val="005F6435"/>
    <w:rsid w:val="00602D8B"/>
    <w:rsid w:val="00610963"/>
    <w:rsid w:val="00613DD4"/>
    <w:rsid w:val="006178AA"/>
    <w:rsid w:val="00621BC2"/>
    <w:rsid w:val="00622565"/>
    <w:rsid w:val="006267E1"/>
    <w:rsid w:val="00637009"/>
    <w:rsid w:val="006442C6"/>
    <w:rsid w:val="00651BFE"/>
    <w:rsid w:val="006600A2"/>
    <w:rsid w:val="00664187"/>
    <w:rsid w:val="00664843"/>
    <w:rsid w:val="006718F8"/>
    <w:rsid w:val="00674606"/>
    <w:rsid w:val="00681F32"/>
    <w:rsid w:val="00687EA5"/>
    <w:rsid w:val="006963D8"/>
    <w:rsid w:val="00697D86"/>
    <w:rsid w:val="006A151E"/>
    <w:rsid w:val="006A40FD"/>
    <w:rsid w:val="006A44F9"/>
    <w:rsid w:val="006A696D"/>
    <w:rsid w:val="006C171D"/>
    <w:rsid w:val="006D3F93"/>
    <w:rsid w:val="006E1ACF"/>
    <w:rsid w:val="006F4993"/>
    <w:rsid w:val="006F704D"/>
    <w:rsid w:val="006F7A45"/>
    <w:rsid w:val="0070616A"/>
    <w:rsid w:val="00717652"/>
    <w:rsid w:val="00717707"/>
    <w:rsid w:val="007227BD"/>
    <w:rsid w:val="00722CD5"/>
    <w:rsid w:val="0072685E"/>
    <w:rsid w:val="00735AAB"/>
    <w:rsid w:val="00735F55"/>
    <w:rsid w:val="00736377"/>
    <w:rsid w:val="00753C33"/>
    <w:rsid w:val="00754C90"/>
    <w:rsid w:val="0079141E"/>
    <w:rsid w:val="007B20BA"/>
    <w:rsid w:val="007C1387"/>
    <w:rsid w:val="007C5A57"/>
    <w:rsid w:val="007E58AD"/>
    <w:rsid w:val="007F7719"/>
    <w:rsid w:val="00800513"/>
    <w:rsid w:val="00802229"/>
    <w:rsid w:val="00802623"/>
    <w:rsid w:val="008105FD"/>
    <w:rsid w:val="00821509"/>
    <w:rsid w:val="008332F4"/>
    <w:rsid w:val="008333D4"/>
    <w:rsid w:val="00833AA2"/>
    <w:rsid w:val="00835E6F"/>
    <w:rsid w:val="00845041"/>
    <w:rsid w:val="00862573"/>
    <w:rsid w:val="00863A17"/>
    <w:rsid w:val="00863EED"/>
    <w:rsid w:val="00870D35"/>
    <w:rsid w:val="00875775"/>
    <w:rsid w:val="0088336C"/>
    <w:rsid w:val="00884A59"/>
    <w:rsid w:val="00895FD8"/>
    <w:rsid w:val="008A6373"/>
    <w:rsid w:val="008D44BE"/>
    <w:rsid w:val="008E4618"/>
    <w:rsid w:val="008F2A10"/>
    <w:rsid w:val="00922F32"/>
    <w:rsid w:val="009249B6"/>
    <w:rsid w:val="009318E6"/>
    <w:rsid w:val="00950C31"/>
    <w:rsid w:val="00950FDF"/>
    <w:rsid w:val="00951D24"/>
    <w:rsid w:val="00964A76"/>
    <w:rsid w:val="00977E5B"/>
    <w:rsid w:val="009A3A4E"/>
    <w:rsid w:val="009B12B7"/>
    <w:rsid w:val="009B38D2"/>
    <w:rsid w:val="009D425B"/>
    <w:rsid w:val="009D478C"/>
    <w:rsid w:val="009D7111"/>
    <w:rsid w:val="009E0A0C"/>
    <w:rsid w:val="009E1D02"/>
    <w:rsid w:val="009E6F2F"/>
    <w:rsid w:val="00A1221B"/>
    <w:rsid w:val="00A155F0"/>
    <w:rsid w:val="00A24F7D"/>
    <w:rsid w:val="00A42BA3"/>
    <w:rsid w:val="00A44B3F"/>
    <w:rsid w:val="00A4599B"/>
    <w:rsid w:val="00A60982"/>
    <w:rsid w:val="00A62F80"/>
    <w:rsid w:val="00A65D94"/>
    <w:rsid w:val="00A670A8"/>
    <w:rsid w:val="00A7176A"/>
    <w:rsid w:val="00A7540E"/>
    <w:rsid w:val="00A77BB6"/>
    <w:rsid w:val="00A803F9"/>
    <w:rsid w:val="00A8162B"/>
    <w:rsid w:val="00A81BC8"/>
    <w:rsid w:val="00A8351F"/>
    <w:rsid w:val="00A87E0B"/>
    <w:rsid w:val="00AA2C48"/>
    <w:rsid w:val="00AA3600"/>
    <w:rsid w:val="00AB70F4"/>
    <w:rsid w:val="00AC0649"/>
    <w:rsid w:val="00AC3112"/>
    <w:rsid w:val="00AD5531"/>
    <w:rsid w:val="00AD768A"/>
    <w:rsid w:val="00AF4B85"/>
    <w:rsid w:val="00B0152E"/>
    <w:rsid w:val="00B043F0"/>
    <w:rsid w:val="00B0490C"/>
    <w:rsid w:val="00B10DE1"/>
    <w:rsid w:val="00B20194"/>
    <w:rsid w:val="00B21EFB"/>
    <w:rsid w:val="00B2422F"/>
    <w:rsid w:val="00B31D0A"/>
    <w:rsid w:val="00B326B2"/>
    <w:rsid w:val="00B32C64"/>
    <w:rsid w:val="00B36E42"/>
    <w:rsid w:val="00B440B9"/>
    <w:rsid w:val="00B50315"/>
    <w:rsid w:val="00B53D42"/>
    <w:rsid w:val="00B5723F"/>
    <w:rsid w:val="00B755F2"/>
    <w:rsid w:val="00B76913"/>
    <w:rsid w:val="00B83E20"/>
    <w:rsid w:val="00B840DF"/>
    <w:rsid w:val="00B86F04"/>
    <w:rsid w:val="00B87E57"/>
    <w:rsid w:val="00B9439E"/>
    <w:rsid w:val="00BB4A69"/>
    <w:rsid w:val="00BB78AF"/>
    <w:rsid w:val="00BC0EB2"/>
    <w:rsid w:val="00BC3B3F"/>
    <w:rsid w:val="00BC4CD0"/>
    <w:rsid w:val="00BD428A"/>
    <w:rsid w:val="00BE0A8A"/>
    <w:rsid w:val="00BE22AC"/>
    <w:rsid w:val="00BE368D"/>
    <w:rsid w:val="00BE7A3F"/>
    <w:rsid w:val="00BF0851"/>
    <w:rsid w:val="00BF3C02"/>
    <w:rsid w:val="00BF55AA"/>
    <w:rsid w:val="00C06B3C"/>
    <w:rsid w:val="00C122A6"/>
    <w:rsid w:val="00C13634"/>
    <w:rsid w:val="00C16116"/>
    <w:rsid w:val="00C27EB7"/>
    <w:rsid w:val="00C43661"/>
    <w:rsid w:val="00C456F0"/>
    <w:rsid w:val="00C46E8E"/>
    <w:rsid w:val="00C52166"/>
    <w:rsid w:val="00C54B3A"/>
    <w:rsid w:val="00C81541"/>
    <w:rsid w:val="00C941AD"/>
    <w:rsid w:val="00CA0197"/>
    <w:rsid w:val="00CA2549"/>
    <w:rsid w:val="00CA6C23"/>
    <w:rsid w:val="00CB3926"/>
    <w:rsid w:val="00CD0E8C"/>
    <w:rsid w:val="00CE0B8F"/>
    <w:rsid w:val="00CE3266"/>
    <w:rsid w:val="00CE6DD5"/>
    <w:rsid w:val="00CF3E2F"/>
    <w:rsid w:val="00D300DA"/>
    <w:rsid w:val="00D33EAC"/>
    <w:rsid w:val="00D417DC"/>
    <w:rsid w:val="00D51C35"/>
    <w:rsid w:val="00D653F3"/>
    <w:rsid w:val="00D65DE9"/>
    <w:rsid w:val="00D70090"/>
    <w:rsid w:val="00D7591A"/>
    <w:rsid w:val="00D93E1C"/>
    <w:rsid w:val="00D94B49"/>
    <w:rsid w:val="00D95920"/>
    <w:rsid w:val="00DA0D14"/>
    <w:rsid w:val="00DA52F4"/>
    <w:rsid w:val="00DC12FC"/>
    <w:rsid w:val="00DC4321"/>
    <w:rsid w:val="00DC4AF1"/>
    <w:rsid w:val="00DD184D"/>
    <w:rsid w:val="00DD2175"/>
    <w:rsid w:val="00DD2CC2"/>
    <w:rsid w:val="00DE42C0"/>
    <w:rsid w:val="00DF03E5"/>
    <w:rsid w:val="00DF6FA8"/>
    <w:rsid w:val="00E02E19"/>
    <w:rsid w:val="00E05A7D"/>
    <w:rsid w:val="00E11FEF"/>
    <w:rsid w:val="00E14A99"/>
    <w:rsid w:val="00E2113B"/>
    <w:rsid w:val="00E21D1B"/>
    <w:rsid w:val="00E27B9F"/>
    <w:rsid w:val="00E32D0E"/>
    <w:rsid w:val="00E40E70"/>
    <w:rsid w:val="00E42B3A"/>
    <w:rsid w:val="00E5312B"/>
    <w:rsid w:val="00E625AB"/>
    <w:rsid w:val="00E649D0"/>
    <w:rsid w:val="00E7001A"/>
    <w:rsid w:val="00E709D3"/>
    <w:rsid w:val="00E725C6"/>
    <w:rsid w:val="00E72F8E"/>
    <w:rsid w:val="00E750C2"/>
    <w:rsid w:val="00E7662D"/>
    <w:rsid w:val="00EA58D0"/>
    <w:rsid w:val="00EB22C6"/>
    <w:rsid w:val="00EB4D1D"/>
    <w:rsid w:val="00EB72D6"/>
    <w:rsid w:val="00EC1097"/>
    <w:rsid w:val="00EC1820"/>
    <w:rsid w:val="00ED130F"/>
    <w:rsid w:val="00ED5233"/>
    <w:rsid w:val="00EE750C"/>
    <w:rsid w:val="00F17635"/>
    <w:rsid w:val="00F244EC"/>
    <w:rsid w:val="00F30BF0"/>
    <w:rsid w:val="00F34359"/>
    <w:rsid w:val="00F458AC"/>
    <w:rsid w:val="00F53D31"/>
    <w:rsid w:val="00F63399"/>
    <w:rsid w:val="00F70AB0"/>
    <w:rsid w:val="00F7725A"/>
    <w:rsid w:val="00F824B7"/>
    <w:rsid w:val="00FA40F4"/>
    <w:rsid w:val="00FB6082"/>
    <w:rsid w:val="00FC2571"/>
    <w:rsid w:val="00FC52F5"/>
    <w:rsid w:val="00FC5CBF"/>
    <w:rsid w:val="00FD6120"/>
    <w:rsid w:val="00FE0020"/>
    <w:rsid w:val="00FE2B3C"/>
    <w:rsid w:val="00FE3E0F"/>
    <w:rsid w:val="00FE7B96"/>
    <w:rsid w:val="38A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50EE534"/>
  <w15:docId w15:val="{43838141-8F4B-4E7D-A95E-B804C996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36C"/>
  </w:style>
  <w:style w:type="paragraph" w:styleId="Overskrift2">
    <w:name w:val="heading 2"/>
    <w:basedOn w:val="Normal"/>
    <w:link w:val="Overskrift2Tegn"/>
    <w:uiPriority w:val="9"/>
    <w:qFormat/>
    <w:rsid w:val="00371F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1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D7A0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14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71F1F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1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681F32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27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7DB7"/>
  </w:style>
  <w:style w:type="paragraph" w:styleId="Sidefod">
    <w:name w:val="footer"/>
    <w:basedOn w:val="Normal"/>
    <w:link w:val="SidefodTegn"/>
    <w:uiPriority w:val="99"/>
    <w:unhideWhenUsed/>
    <w:rsid w:val="00327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7DB7"/>
  </w:style>
  <w:style w:type="character" w:styleId="Ulstomtale">
    <w:name w:val="Unresolved Mention"/>
    <w:basedOn w:val="Standardskrifttypeiafsnit"/>
    <w:uiPriority w:val="99"/>
    <w:semiHidden/>
    <w:unhideWhenUsed/>
    <w:rsid w:val="005A18C5"/>
    <w:rPr>
      <w:color w:val="605E5C"/>
      <w:shd w:val="clear" w:color="auto" w:fill="E1DFDD"/>
    </w:rPr>
  </w:style>
  <w:style w:type="character" w:customStyle="1" w:styleId="liste1nr">
    <w:name w:val="liste1nr"/>
    <w:basedOn w:val="Standardskrifttypeiafsnit"/>
    <w:rsid w:val="005C0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8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7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4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0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8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4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9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0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5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7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7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1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4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ffaldsregister.ens.dk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ffaldsregister.ens.dk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rk.dk/myndigheder/kommuner/selvbetjening/Anmeld_bygge-_og_anlaegsaffald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E5B0739A5B940B59087AADAC2088E" ma:contentTypeVersion="15" ma:contentTypeDescription="Opret et nyt dokument." ma:contentTypeScope="" ma:versionID="06e9c56f219ad4eced32ff0f5e42b638">
  <xsd:schema xmlns:xsd="http://www.w3.org/2001/XMLSchema" xmlns:xs="http://www.w3.org/2001/XMLSchema" xmlns:p="http://schemas.microsoft.com/office/2006/metadata/properties" xmlns:ns2="965187cb-be4e-4cfe-9160-2cd169c37d59" xmlns:ns3="9f2c6138-2382-4bb2-b7be-45e8eec52ee4" targetNamespace="http://schemas.microsoft.com/office/2006/metadata/properties" ma:root="true" ma:fieldsID="e01f036591a351ee66807f38d0d2ff2c" ns2:_="" ns3:_="">
    <xsd:import namespace="965187cb-be4e-4cfe-9160-2cd169c37d59"/>
    <xsd:import namespace="9f2c6138-2382-4bb2-b7be-45e8eec52ee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187cb-be4e-4cfe-9160-2cd169c37d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399bb6a8-102e-4fd4-96f6-08b9a3a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6138-2382-4bb2-b7be-45e8eec52e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305bf-7760-4f78-8e64-e36d0ed606a7}" ma:internalName="TaxCatchAll" ma:showField="CatchAllData" ma:web="9f2c6138-2382-4bb2-b7be-45e8eec52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2c6138-2382-4bb2-b7be-45e8eec52ee4" xsi:nil="true"/>
    <lcf76f155ced4ddcb4097134ff3c332f xmlns="965187cb-be4e-4cfe-9160-2cd169c37d59">
      <Terms xmlns="http://schemas.microsoft.com/office/infopath/2007/PartnerControls"/>
    </lcf76f155ced4ddcb4097134ff3c332f>
    <SharedWithUsers xmlns="9f2c6138-2382-4bb2-b7be-45e8eec52ee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B9F5-D71A-4558-B124-4302DB58C24B}"/>
</file>

<file path=customXml/itemProps2.xml><?xml version="1.0" encoding="utf-8"?>
<ds:datastoreItem xmlns:ds="http://schemas.openxmlformats.org/officeDocument/2006/customXml" ds:itemID="{36227C0B-8ED4-4D63-AE0C-AD513C6BF123}">
  <ds:schemaRefs>
    <ds:schemaRef ds:uri="http://www.w3.org/XML/1998/namespace"/>
    <ds:schemaRef ds:uri="99cab58c-ee67-476d-88bf-34c4165a979f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cce59e3-5e42-4f7c-98b4-29e3914568d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24CA3B-1D56-448F-B434-D2AA455807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3A54BB-1C1A-43EF-8982-9E3B4489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Jette Knudsen</dc:creator>
  <cp:lastModifiedBy>Maria Kjærsgaard Pedersen</cp:lastModifiedBy>
  <cp:revision>2</cp:revision>
  <dcterms:created xsi:type="dcterms:W3CDTF">2024-10-28T09:46:00Z</dcterms:created>
  <dcterms:modified xsi:type="dcterms:W3CDTF">2024-10-28T09:46:00Z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0x0101005F7E5B0739A5B940B59087AADAC2088E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